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480000" cy="146277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ade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462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Arial" w:hAnsi="Arial" w:eastAsia="Arial"/>
          <w:b/>
          <w:color w:val="1B2D67"/>
          <w:sz w:val="22"/>
        </w:rPr>
        <w:t>ТЕХНИЧЕСКОЕ ОПИСАНИЕ</w:t>
      </w:r>
    </w:p>
    <w:p>
      <w:pPr>
        <w:spacing w:after="20"/>
      </w:pPr>
      <w:r>
        <w:rPr>
          <w:rFonts w:ascii="Arial" w:hAnsi="Arial" w:eastAsia="Arial"/>
          <w:b/>
          <w:color w:val="233F9A"/>
          <w:sz w:val="60"/>
        </w:rPr>
        <w:t>APuH</w:t>
      </w:r>
    </w:p>
    <w:p>
      <w:pPr>
        <w:spacing w:after="100"/>
      </w:pPr>
      <w:r>
        <w:rPr>
          <w:rFonts w:ascii="Arial" w:hAnsi="Arial" w:eastAsia="Arial"/>
          <w:b w:val="0"/>
          <w:color w:val="111111"/>
          <w:sz w:val="21"/>
        </w:rPr>
        <w:t>Алифатический полиизоцианатный отвердитель</w:t>
      </w:r>
    </w:p>
    <w:p>
      <w:pPr>
        <w:spacing w:before="180" w:after="100"/>
      </w:pPr>
      <w:r>
        <w:rPr>
          <w:rFonts w:ascii="Arial" w:hAnsi="Arial" w:eastAsia="Arial"/>
          <w:b/>
          <w:color w:val="1B2D67"/>
          <w:sz w:val="24"/>
        </w:rPr>
        <w:t>ОСНОВНЫЕ ХАРАКТЕРИСТИКИ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Тип продукта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Алифатический полиизоцианат на основе HDI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Массовая доля нелетучих веществ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74-76%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Содержание NCO-групп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16,0-17,0%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Вязкость при 25 °C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50-150 мПа·с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Свободный мономер HDI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≤0,2%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Растворитель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н-Бутилацетат (BA)</w:t>
            </w:r>
          </w:p>
        </w:tc>
      </w:tr>
    </w:tbl>
    <w:p>
      <w:pPr>
        <w:spacing w:before="180" w:after="100"/>
      </w:pPr>
      <w:r>
        <w:rPr>
          <w:rFonts w:ascii="Arial" w:hAnsi="Arial" w:eastAsia="Arial"/>
          <w:b/>
          <w:color w:val="1B2D67"/>
          <w:sz w:val="24"/>
        </w:rPr>
        <w:t>ОПИСАНИЕ ПРОДУКТА</w:t>
      </w:r>
    </w:p>
    <w:p>
      <w:pPr>
        <w:spacing w:after="60" w:line="259" w:lineRule="auto"/>
      </w:pPr>
      <w:r>
        <w:rPr>
          <w:rFonts w:ascii="Arial" w:hAnsi="Arial" w:eastAsia="Arial"/>
          <w:b w:val="0"/>
          <w:color w:val="111111"/>
          <w:sz w:val="19"/>
        </w:rPr>
        <w:t>Jinlang APuH - растворный алифатический полиизоцианатный отвердитель на основе HDI для двухкомпонентных полиуретановых покрытий. Предназначен для гидроксилсодержащих акриловых смол и полиэфирных полиолов, когда требуется высокая стойкость покрытия при наружной эксплуатации.</w:t>
      </w:r>
    </w:p>
    <w:p>
      <w:pPr>
        <w:pStyle w:val="ListBullet"/>
        <w:spacing w:after="20"/>
        <w:ind w:left="340" w:hanging="170"/>
      </w:pPr>
      <w:r>
        <w:rPr>
          <w:rFonts w:ascii="Arial" w:hAnsi="Arial" w:eastAsia="Arial"/>
          <w:b w:val="0"/>
          <w:color w:val="1B2D67"/>
          <w:sz w:val="19"/>
        </w:rPr>
        <w:t>Отличная атмосферостойкость, сохранение цвета и блеска.</w:t>
      </w:r>
    </w:p>
    <w:p>
      <w:pPr>
        <w:pStyle w:val="ListBullet"/>
        <w:spacing w:after="20"/>
        <w:ind w:left="340" w:hanging="170"/>
      </w:pPr>
      <w:r>
        <w:rPr>
          <w:rFonts w:ascii="Arial" w:hAnsi="Arial" w:eastAsia="Arial"/>
          <w:b w:val="0"/>
          <w:color w:val="1B2D67"/>
          <w:sz w:val="19"/>
        </w:rPr>
        <w:t>Хорошая химическая и механическая стойкость.</w:t>
      </w:r>
    </w:p>
    <w:p>
      <w:pPr>
        <w:spacing w:before="180" w:after="100"/>
      </w:pPr>
      <w:r>
        <w:rPr>
          <w:rFonts w:ascii="Arial" w:hAnsi="Arial" w:eastAsia="Arial"/>
          <w:b/>
          <w:color w:val="1B2D67"/>
          <w:sz w:val="24"/>
        </w:rPr>
        <w:t>ТЕХНИЧЕСКИЕ ДАННЫЕ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Внешний вид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Прозрачная жидкость от бесцветной до бледно-жёлтой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Цветность, APHA / Pt-Co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≤40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Массовая доля нелетучих веществ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74-76%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Содержание NCO-групп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16,0-17,0%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Вязкость при 25 °C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50-150 мПа·с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Плотность при 25 °C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1,05 ± 0,02 г/см³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Свободный мономер HDI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≤0,2%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Эквивалентная масса по NCO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Около 256 г/экв.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Температура вспышки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Около 46 °C</w:t>
            </w:r>
          </w:p>
        </w:tc>
      </w:tr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Растворитель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н-Бутилацетат (BA)</w:t>
            </w:r>
          </w:p>
        </w:tc>
      </w:tr>
    </w:tbl>
    <w:p>
      <w:r>
        <w:br w:type="page"/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c>
          <w:tcPr>
            <w:tcW w:type="dxa" w:w="3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Растворимость в воде</w:t>
            </w:r>
          </w:p>
        </w:tc>
        <w:tc>
          <w:tcPr>
            <w:tcW w:type="dxa" w:w="63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Не растворяется; реагирует с водой</w:t>
            </w:r>
          </w:p>
        </w:tc>
      </w:tr>
    </w:tbl>
    <w:p>
      <w:pPr>
        <w:spacing w:before="180" w:after="100"/>
      </w:pPr>
      <w:r>
        <w:rPr>
          <w:rFonts w:ascii="Arial" w:hAnsi="Arial" w:eastAsia="Arial"/>
          <w:b/>
          <w:color w:val="1B2D67"/>
          <w:sz w:val="24"/>
        </w:rPr>
        <w:t>СОВМЕСТИМОСТЬ И РАЗБАВЛЕНИЕ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400"/>
        <w:gridCol w:w="4160"/>
      </w:tblGrid>
      <w:tr>
        <w:tc>
          <w:tcPr>
            <w:tcW w:type="dxa" w:w="18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111111"/>
                <w:sz w:val="18"/>
              </w:rPr>
              <w:t>Параметр</w:t>
            </w:r>
          </w:p>
        </w:tc>
        <w:tc>
          <w:tcPr>
            <w:tcW w:type="dxa" w:w="34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111111"/>
                <w:sz w:val="18"/>
              </w:rPr>
              <w:t>Требование</w:t>
            </w:r>
          </w:p>
        </w:tc>
        <w:tc>
          <w:tcPr>
            <w:tcW w:type="dxa" w:w="416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111111"/>
                <w:sz w:val="18"/>
              </w:rPr>
              <w:t>Примечание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Совместимые связующие</w:t>
            </w:r>
          </w:p>
        </w:tc>
        <w:tc>
          <w:tcPr>
            <w:tcW w:type="dxa" w:w="34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Гидроксилсодержащие акриловые смолы</w:t>
            </w:r>
          </w:p>
        </w:tc>
        <w:tc>
          <w:tcPr>
            <w:tcW w:type="dxa" w:w="4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Полиэфирные полиолы и подходящие гидроксилсодержащие смолы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Совместимые растворители</w:t>
            </w:r>
          </w:p>
        </w:tc>
        <w:tc>
          <w:tcPr>
            <w:tcW w:type="dxa" w:w="34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BA / EA / PMA / MEK / MIBK</w:t>
            </w:r>
          </w:p>
        </w:tc>
        <w:tc>
          <w:tcPr>
            <w:tcW w:type="dxa" w:w="4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Ксилол / толуол / Solvent Naphtha 100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Требования к растворителю</w:t>
            </w:r>
          </w:p>
        </w:tc>
        <w:tc>
          <w:tcPr>
            <w:tcW w:type="dxa" w:w="34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Сухие растворители для ПУ; вода ≤0,05%</w:t>
            </w:r>
          </w:p>
        </w:tc>
        <w:tc>
          <w:tcPr>
            <w:tcW w:type="dxa" w:w="4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Не применять спирты, амины и материалы с активным водородом</w:t>
            </w:r>
          </w:p>
        </w:tc>
      </w:tr>
    </w:tbl>
    <w:p>
      <w:pPr>
        <w:spacing w:before="180" w:after="100"/>
      </w:pPr>
      <w:r>
        <w:rPr>
          <w:rFonts w:ascii="Arial" w:hAnsi="Arial" w:eastAsia="Arial"/>
          <w:b/>
          <w:color w:val="1B2D67"/>
          <w:sz w:val="24"/>
        </w:rPr>
        <w:t>ДАННЫЕ ПО ПРИМЕНЕНИЮ И РЕЦЕПТУРЕ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200"/>
        <w:gridCol w:w="6160"/>
      </w:tblGrid>
      <w:tr>
        <w:tc>
          <w:tcPr>
            <w:tcW w:type="dxa" w:w="32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Основа расчёта смеси</w:t>
            </w:r>
          </w:p>
        </w:tc>
        <w:tc>
          <w:tcPr>
            <w:tcW w:type="dxa" w:w="6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Стехиометрическое соотношение NCO/OH</w:t>
            </w:r>
          </w:p>
        </w:tc>
      </w:tr>
      <w:tr>
        <w:tc>
          <w:tcPr>
            <w:tcW w:type="dxa" w:w="32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Рекомендуемое соотношение NCO/OH</w:t>
            </w:r>
          </w:p>
        </w:tc>
        <w:tc>
          <w:tcPr>
            <w:tcW w:type="dxa" w:w="6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1,0-1,1 : 1</w:t>
            </w:r>
          </w:p>
        </w:tc>
      </w:tr>
      <w:tr>
        <w:tc>
          <w:tcPr>
            <w:tcW w:type="dxa" w:w="32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Дозировка отвердителя</w:t>
            </w:r>
          </w:p>
        </w:tc>
        <w:tc>
          <w:tcPr>
            <w:tcW w:type="dxa" w:w="6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Рассчитывается по гидроксильному числу смолы и содержанию NCO в APuH</w:t>
            </w:r>
          </w:p>
        </w:tc>
      </w:tr>
      <w:tr>
        <w:tc>
          <w:tcPr>
            <w:tcW w:type="dxa" w:w="32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Способ введения</w:t>
            </w:r>
          </w:p>
        </w:tc>
        <w:tc>
          <w:tcPr>
            <w:tcW w:type="dxa" w:w="6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Добавить APuH в базовый компонент и тщательно перемешать</w:t>
            </w:r>
          </w:p>
        </w:tc>
      </w:tr>
      <w:tr>
        <w:tc>
          <w:tcPr>
            <w:tcW w:type="dxa" w:w="32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Разбавление</w:t>
            </w:r>
          </w:p>
        </w:tc>
        <w:tc>
          <w:tcPr>
            <w:tcW w:type="dxa" w:w="61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При необходимости использовать совместимый сухой растворитель для ПУ</w:t>
            </w:r>
          </w:p>
        </w:tc>
      </w:tr>
    </w:tbl>
    <w:p>
      <w:pPr>
        <w:spacing w:before="180" w:after="100"/>
      </w:pPr>
      <w:r>
        <w:rPr>
          <w:rFonts w:ascii="Arial" w:hAnsi="Arial" w:eastAsia="Arial"/>
          <w:b/>
          <w:color w:val="1B2D67"/>
          <w:sz w:val="24"/>
        </w:rPr>
        <w:t>УСЛОВИЯ ХРАНЕНИЯ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5000"/>
        <w:gridCol w:w="2560"/>
      </w:tblGrid>
      <w:tr>
        <w:tc>
          <w:tcPr>
            <w:tcW w:type="dxa" w:w="18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111111"/>
                <w:sz w:val="18"/>
              </w:rPr>
              <w:t>Категория</w:t>
            </w:r>
          </w:p>
        </w:tc>
        <w:tc>
          <w:tcPr>
            <w:tcW w:type="dxa" w:w="500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111111"/>
                <w:sz w:val="18"/>
              </w:rPr>
              <w:t>Условие</w:t>
            </w:r>
          </w:p>
        </w:tc>
        <w:tc>
          <w:tcPr>
            <w:tcW w:type="dxa" w:w="2560"/>
            <w:vAlign w:val="center"/>
            <w:shd w:fill="F1F3F7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color w:val="111111"/>
                <w:sz w:val="18"/>
              </w:rPr>
              <w:t>Значение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Хранение</w:t>
            </w:r>
          </w:p>
        </w:tc>
        <w:tc>
          <w:tcPr>
            <w:tcW w:type="dxa" w:w="50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Рекомендуемая температура</w:t>
            </w:r>
          </w:p>
        </w:tc>
        <w:tc>
          <w:tcPr>
            <w:tcW w:type="dxa" w:w="25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0-30 °C</w:t>
            </w:r>
          </w:p>
        </w:tc>
      </w:tr>
      <w:tr>
        <w:tc>
          <w:tcPr>
            <w:tcW w:type="dxa" w:w="18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Срок хранения</w:t>
            </w:r>
          </w:p>
        </w:tc>
        <w:tc>
          <w:tcPr>
            <w:tcW w:type="dxa" w:w="500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В оригинальной герметично закрытой таре</w:t>
            </w:r>
          </w:p>
        </w:tc>
        <w:tc>
          <w:tcPr>
            <w:tcW w:type="dxa" w:w="2560"/>
            <w:vAlign w:val="center"/>
            <w:tcMar>
              <w:top w:w="70" w:type="dxa"/>
              <w:start w:w="110" w:type="dxa"/>
              <w:bottom w:w="70" w:type="dxa"/>
              <w:end w:w="11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color w:val="111111"/>
                <w:sz w:val="18"/>
              </w:rPr>
              <w:t>12 месяцев</w:t>
            </w:r>
          </w:p>
        </w:tc>
      </w:tr>
    </w:tbl>
    <w:p>
      <w:pPr>
        <w:spacing w:before="180" w:after="100"/>
      </w:pPr>
      <w:r>
        <w:rPr>
          <w:rFonts w:ascii="Arial" w:hAnsi="Arial" w:eastAsia="Arial"/>
          <w:b/>
          <w:color w:val="1B2D67"/>
          <w:sz w:val="24"/>
        </w:rPr>
        <w:t>ОБРАЩЕНИЕ, ОГРАНИЧЕНИЯ И БЕЗОПАСНОСТЬ</w:t>
      </w:r>
    </w:p>
    <w:p>
      <w:pPr>
        <w:spacing w:after="60" w:line="259" w:lineRule="auto"/>
      </w:pPr>
      <w:r>
        <w:rPr>
          <w:rFonts w:ascii="Arial" w:hAnsi="Arial" w:eastAsia="Arial"/>
          <w:b w:val="0"/>
          <w:color w:val="111111"/>
          <w:sz w:val="19"/>
        </w:rPr>
        <w:t>APuH чувствителен к влаге и реагирует с водой, спиртами, аминами и другими соединениями с активным водородом. Содержит изоцианаты. Не вдыхать пары и аэрозоль; избегать попадания на кожу и в глаза. Использовать подходящие средства индивидуальной защиты и обеспечить достаточную вентиляцию.</w:t>
      </w:r>
    </w:p>
    <w:p>
      <w:pPr>
        <w:spacing w:after="60" w:line="259" w:lineRule="auto"/>
      </w:pPr>
      <w:r>
        <w:rPr>
          <w:rFonts w:ascii="Arial" w:hAnsi="Arial" w:eastAsia="Arial"/>
          <w:b w:val="0"/>
          <w:color w:val="111111"/>
          <w:sz w:val="19"/>
        </w:rPr>
        <w:t>Хранить тару плотно закрытой в прохладном сухом месте, вдали от прямых солнечных лучей, источников тепла и воспламенения. Перед применением ознакомиться с паспортом безопасности (SDS).</w:t>
      </w:r>
    </w:p>
    <w:sectPr w:rsidR="00FC693F" w:rsidRPr="0006063C" w:rsidSect="00034616">
      <w:footerReference w:type="default" r:id="rId10"/>
      <w:pgSz w:w="11906" w:h="16838"/>
      <w:pgMar w:top="680" w:right="850" w:bottom="680" w:left="850" w:header="22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color w:val="777777"/>
        <w:sz w:val="16"/>
      </w:rPr>
      <w:t>Foshan Jinlang Chemical Polymer Materials Co., LTD  |  Август 2024 г., версия 1.2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