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color w:val="183260"/>
          <w:sz w:val="24"/>
        </w:rPr>
        <w:t>ТЕХНИЧЕСКОЕ ОПИСАНИЕ</w:t>
      </w:r>
    </w:p>
    <w:p>
      <w:pPr>
        <w:spacing w:after="40"/>
      </w:pPr>
      <w:r>
        <w:rPr>
          <w:rFonts w:ascii="Arial" w:hAnsi="Arial" w:eastAsia="Arial"/>
          <w:b/>
          <w:color w:val="2E74B5"/>
          <w:sz w:val="60"/>
        </w:rPr>
        <w:t>AT 01</w:t>
      </w:r>
    </w:p>
    <w:p>
      <w:pPr>
        <w:spacing w:after="180"/>
      </w:pPr>
      <w:r>
        <w:rPr>
          <w:rFonts w:ascii="Arial" w:hAnsi="Arial" w:eastAsia="Arial"/>
          <w:b w:val="0"/>
          <w:color w:val="111111"/>
          <w:sz w:val="24"/>
        </w:rPr>
        <w:t>Однокомпонентная алкидная финишная эмаль для наружных работ</w:t>
      </w:r>
    </w:p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ОСНОВНЫЕ ХАРАКТЕРИСТИКИ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00"/>
        <w:gridCol w:w="6160"/>
      </w:tblGrid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Тип продукта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Однокомпонентная алкидная эмаль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Объёмная доля нелетучих веществ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40%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Содержание ЛОС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≤420 г/л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Цвет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Стандартные цвета / цвета RAL по запросу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Блеск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Глянцевый, ≥80 GU при угле 60°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Рекомендуемая толщина сухой плёнки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50-60 мкм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Теоретический расход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8,0 / 6,7 м²/л</w:t>
            </w:r>
          </w:p>
        </w:tc>
      </w:tr>
      <w:tr>
        <w:tc>
          <w:tcPr>
            <w:tcW w:type="dxa" w:w="32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Срок хранения</w:t>
            </w:r>
          </w:p>
        </w:tc>
        <w:tc>
          <w:tcPr>
            <w:tcW w:type="dxa" w:w="6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12 месяцев</w:t>
            </w:r>
          </w:p>
        </w:tc>
      </w:tr>
    </w:tbl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ОПИСАНИЕ ПРОДУКТА</w:t>
      </w:r>
    </w:p>
    <w:p>
      <w:pPr>
        <w:spacing w:after="120" w:line="288" w:lineRule="auto"/>
      </w:pPr>
      <w:r>
        <w:rPr>
          <w:rFonts w:ascii="Arial" w:hAnsi="Arial" w:eastAsia="Arial"/>
          <w:b w:val="0"/>
          <w:color w:val="111111"/>
          <w:sz w:val="20"/>
        </w:rPr>
        <w:t>AT 01 - однокомпонентная модифицированная алкидная финишная эмаль для металлических конструкций общего назначения. Образует экономичное декоративно-защитное глянцевое покрытие при нанесении на подходящий грунт.</w:t>
      </w:r>
    </w:p>
    <w:p>
      <w:pPr>
        <w:pStyle w:val="ListBullet"/>
        <w:spacing w:after="80" w:line="300" w:lineRule="auto"/>
        <w:ind w:left="539" w:hanging="272"/>
      </w:pPr>
      <w:r>
        <w:rPr>
          <w:rFonts w:ascii="Arial" w:hAnsi="Arial" w:eastAsia="Arial"/>
          <w:b w:val="0"/>
          <w:color w:val="183260"/>
          <w:sz w:val="20"/>
        </w:rPr>
        <w:t xml:space="preserve"> Простое нанесение.</w:t>
      </w:r>
    </w:p>
    <w:p>
      <w:pPr>
        <w:pStyle w:val="ListBullet"/>
        <w:spacing w:after="80" w:line="300" w:lineRule="auto"/>
        <w:ind w:left="539" w:hanging="272"/>
      </w:pPr>
      <w:r>
        <w:rPr>
          <w:rFonts w:ascii="Arial" w:hAnsi="Arial" w:eastAsia="Arial"/>
          <w:b w:val="0"/>
          <w:color w:val="183260"/>
          <w:sz w:val="20"/>
        </w:rPr>
        <w:t xml:space="preserve"> Хорошая адгезия.</w:t>
      </w:r>
    </w:p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ТЕХНИЧЕСКИЕ ДАННЫЕ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5760"/>
      </w:tblGrid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Объёмная доля нелетучих веществ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40%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Содержание ЛОС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≤420 г/л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Цвет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Стандартные цвета / цвета RAL по запросу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Блеск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Глянцевый, ≥80 GU при угле 60°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Рекомендуемая толщина сухой плёнки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50-60 мкм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Расчётная толщина мокрой плёнки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125-150 мкм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Теоретический расход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8,0 / 6,7 м²/л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Твёрдость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≥B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Ударная прочность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≥40 см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Адгезия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≤1 балла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Эластичность при изгибе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≤2 мм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Степень перетира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≤50 мкм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Фасовка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4 л / 20 л / 200 л</w:t>
            </w:r>
          </w:p>
        </w:tc>
      </w:tr>
      <w:tr>
        <w:tc>
          <w:tcPr>
            <w:tcW w:type="dxa" w:w="36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Срок хранения</w:t>
            </w:r>
          </w:p>
        </w:tc>
        <w:tc>
          <w:tcPr>
            <w:tcW w:type="dxa" w:w="5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12 месяцев</w:t>
            </w:r>
          </w:p>
        </w:tc>
      </w:tr>
    </w:tbl>
    <w:p>
      <w:r>
        <w:br w:type="page"/>
      </w:r>
    </w:p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ПОДГОТОВКА ПОВЕРХНОСТИ</w:t>
      </w:r>
    </w:p>
    <w:p>
      <w:pPr>
        <w:pStyle w:val="ListBullet"/>
        <w:spacing w:after="80" w:line="300" w:lineRule="auto"/>
        <w:ind w:left="539" w:hanging="272"/>
      </w:pPr>
      <w:r>
        <w:rPr>
          <w:rFonts w:ascii="Arial" w:hAnsi="Arial" w:eastAsia="Arial"/>
          <w:b w:val="0"/>
          <w:color w:val="111111"/>
          <w:sz w:val="20"/>
        </w:rPr>
        <w:t xml:space="preserve"> Наносить на чистый, сухой и прочный алкидный грунт либо на совместимое старое покрытие.</w:t>
      </w:r>
    </w:p>
    <w:p>
      <w:pPr>
        <w:pStyle w:val="ListBullet"/>
        <w:spacing w:after="80" w:line="300" w:lineRule="auto"/>
        <w:ind w:left="539" w:hanging="272"/>
      </w:pPr>
      <w:r>
        <w:rPr>
          <w:rFonts w:ascii="Arial" w:hAnsi="Arial" w:eastAsia="Arial"/>
          <w:b w:val="0"/>
          <w:color w:val="111111"/>
          <w:sz w:val="20"/>
        </w:rPr>
        <w:t xml:space="preserve"> При нанесении непосредственно на сталь требуется подготовка поверхности не ниже степени St 3.</w:t>
      </w:r>
    </w:p>
    <w:p>
      <w:pPr>
        <w:pStyle w:val="ListBullet"/>
        <w:spacing w:after="80" w:line="300" w:lineRule="auto"/>
        <w:ind w:left="539" w:hanging="272"/>
      </w:pPr>
      <w:r>
        <w:rPr>
          <w:rFonts w:ascii="Arial" w:hAnsi="Arial" w:eastAsia="Arial"/>
          <w:b w:val="0"/>
          <w:color w:val="111111"/>
          <w:sz w:val="20"/>
        </w:rPr>
        <w:t xml:space="preserve"> Удалить масло, соли, пыль, рыхлую ржавчину, окалину и непрочно держащееся старое покрытие.</w:t>
      </w:r>
    </w:p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ДАННЫЕ ПО НАНЕСЕНИЮ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Разбавитель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Алкидный разбавитель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Обычная степень разбавления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10-20%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Способы нанесения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Кисть / валик / распыление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Температура нанесения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10-30 °C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Относительная влажность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≤80%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Срок хранения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12 месяцев</w:t>
            </w:r>
          </w:p>
        </w:tc>
      </w:tr>
    </w:tbl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ВЫСЫХАНИЕ И МЕЖСЛОЙНАЯ ВЫДЕРЖКА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Высыхание до отлипа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≤2 часов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Полное высыхание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8-24 часа, в зависимости от продукта и условий</w:t>
            </w:r>
          </w:p>
        </w:tc>
      </w:tr>
      <w:tr>
        <w:tc>
          <w:tcPr>
            <w:tcW w:type="dxa" w:w="3300"/>
            <w:vAlign w:val="center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Полное отверждение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7 суток</w:t>
            </w:r>
          </w:p>
        </w:tc>
      </w:tr>
    </w:tbl>
    <w:p>
      <w:pPr>
        <w:spacing w:before="240" w:after="120"/>
      </w:pPr>
      <w:r>
        <w:rPr>
          <w:rFonts w:ascii="Arial" w:hAnsi="Arial" w:eastAsia="Arial"/>
          <w:b/>
          <w:color w:val="183260"/>
          <w:sz w:val="26"/>
        </w:rPr>
        <w:t>ОБРАЩЕНИЕ, ОГРАНИЧЕНИЯ И БЕЗОПАСНОСТЬ</w:t>
      </w:r>
    </w:p>
    <w:p>
      <w:pPr>
        <w:spacing w:after="120" w:line="288" w:lineRule="auto"/>
      </w:pPr>
      <w:r>
        <w:rPr>
          <w:rFonts w:ascii="Arial" w:hAnsi="Arial" w:eastAsia="Arial"/>
          <w:b w:val="0"/>
          <w:color w:val="111111"/>
          <w:sz w:val="20"/>
        </w:rPr>
        <w:t>Использовать защитные перчатки и средства защиты глаз. Во время нанесения обеспечить достаточную вентиляцию. Хранить вдали от источников тепла, искр и открытого огня. Продукт предназначен для общепромышленного применения.</w:t>
      </w:r>
    </w:p>
    <w:sectPr>
      <w:footerReference w:type="default" r:id="rId9"/>
      <w:pgSz w:w="11906" w:h="16838"/>
      <w:pgMar w:top="1020" w:right="1134" w:bottom="1020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777777"/>
        <w:sz w:val="16"/>
      </w:rPr>
      <w:t>AT 01 | Техническое описание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