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Arial" w:hAnsi="Arial" w:eastAsia="Arial"/>
          <w:b/>
          <w:color w:val="162A54"/>
          <w:sz w:val="24"/>
        </w:rPr>
        <w:t>ТЕХНИЧЕСКАЯ СПЕЦИФИКАЦИЯ</w:t>
      </w:r>
    </w:p>
    <w:p>
      <w:pPr>
        <w:spacing w:after="60" w:before="0"/>
      </w:pPr>
      <w:r>
        <w:rPr>
          <w:rFonts w:ascii="Arial" w:hAnsi="Arial" w:eastAsia="Arial"/>
          <w:b/>
          <w:color w:val="0D2D7D"/>
          <w:sz w:val="48"/>
        </w:rPr>
        <w:t>EpoPri D22</w:t>
      </w:r>
    </w:p>
    <w:p>
      <w:pPr>
        <w:spacing w:after="100" w:before="0"/>
      </w:pPr>
      <w:r>
        <w:rPr>
          <w:rFonts w:ascii="Arial" w:hAnsi="Arial" w:eastAsia="Arial"/>
          <w:b w:val="0"/>
          <w:sz w:val="21"/>
        </w:rPr>
        <w:t>2К эпоксидный антикоррозионный грунт для защиты стали</w:t>
      </w:r>
    </w:p>
    <w:p>
      <w:pPr>
        <w:spacing w:after="80" w:before="160"/>
      </w:pPr>
      <w:r>
        <w:rPr>
          <w:rFonts w:ascii="Arial" w:hAnsi="Arial" w:eastAsia="Arial"/>
          <w:b/>
          <w:color w:val="162A54"/>
          <w:sz w:val="24"/>
        </w:rPr>
        <w:t>КЛЮЧЕВЫЕ ХАРАКТЕРИСТИКИ</w:t>
      </w:r>
    </w:p>
    <w:p>
      <w:pPr>
        <w:spacing w:after="80" w:before="0"/>
      </w:pPr>
      <w:r>
        <w:rPr>
          <w:rFonts w:ascii="Arial" w:hAnsi="Arial" w:eastAsia="Arial"/>
          <w:b/>
          <w:color w:val="AA0000"/>
          <w:sz w:val="20"/>
        </w:rPr>
        <w:t>—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Тип продукта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2К эпоксид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Соотношение смешивания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9:1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Сухой остаток по объему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60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VOC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≤420 г/л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Цвет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Стандартный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Рекомендуемая DFT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50-80 мкм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Теоретический расход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12 / 7,5 м²/л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Жизнеспособность смеси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&gt;3 ч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Срок хранения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6 месяцев</w:t>
            </w:r>
          </w:p>
        </w:tc>
      </w:tr>
    </w:tbl>
    <w:p>
      <w:pPr>
        <w:spacing w:after="20"/>
      </w:pPr>
    </w:p>
    <w:p>
      <w:pPr>
        <w:spacing w:after="80" w:before="160"/>
      </w:pPr>
      <w:r>
        <w:rPr>
          <w:rFonts w:ascii="Arial" w:hAnsi="Arial" w:eastAsia="Arial"/>
          <w:b/>
          <w:color w:val="162A54"/>
          <w:sz w:val="24"/>
        </w:rPr>
        <w:t>ОПИСАНИЕ ПРОДУКТА</w:t>
      </w:r>
    </w:p>
    <w:p>
      <w:pPr>
        <w:spacing w:after="80" w:before="0"/>
      </w:pPr>
      <w:r>
        <w:rPr>
          <w:rFonts w:ascii="Arial" w:hAnsi="Arial" w:eastAsia="Arial"/>
          <w:b/>
          <w:color w:val="AA0000"/>
          <w:sz w:val="20"/>
        </w:rPr>
        <w:t>—</w:t>
      </w:r>
    </w:p>
    <w:p>
      <w:pPr>
        <w:spacing w:after="40" w:before="0"/>
      </w:pPr>
      <w:r>
        <w:rPr>
          <w:rFonts w:ascii="Arial" w:hAnsi="Arial" w:eastAsia="Arial"/>
          <w:b w:val="0"/>
          <w:sz w:val="19"/>
        </w:rPr>
        <w:t>Jinlang EpoPri D22 - двухкомпонентный эпоксидный грунт, допускающий нанесение на поверхности с ограниченной подготовкой, для ремонтной окраски стальных конструкций. Обеспечивает барьерную защиту с высоким сухим остатком там, где идеальная подготовка поверхности затруднена.</w:t>
      </w:r>
    </w:p>
    <w:p>
      <w:pPr>
        <w:spacing w:after="20"/>
        <w:ind w:left="227" w:hanging="142"/>
      </w:pPr>
      <w:r>
        <w:rPr>
          <w:rFonts w:ascii="Arial" w:hAnsi="Arial" w:eastAsia="Arial"/>
          <w:sz w:val="18"/>
        </w:rPr>
        <w:t>◆ Допускает нанесение на поверхность с ограниченной подготовкой</w:t>
      </w:r>
    </w:p>
    <w:p>
      <w:pPr>
        <w:spacing w:after="20"/>
        <w:ind w:left="227" w:hanging="142"/>
      </w:pPr>
      <w:r>
        <w:rPr>
          <w:rFonts w:ascii="Arial" w:hAnsi="Arial" w:eastAsia="Arial"/>
          <w:sz w:val="18"/>
        </w:rPr>
        <w:t>◆ Высокий сухой остаток</w:t>
      </w:r>
    </w:p>
    <w:p>
      <w:pPr>
        <w:spacing w:after="20"/>
        <w:ind w:left="227" w:hanging="142"/>
      </w:pPr>
      <w:r>
        <w:rPr>
          <w:rFonts w:ascii="Arial" w:hAnsi="Arial" w:eastAsia="Arial"/>
          <w:sz w:val="18"/>
        </w:rPr>
        <w:t>◆ Подходит для ремонтных работ</w:t>
      </w:r>
    </w:p>
    <w:p>
      <w:pPr>
        <w:spacing w:after="80" w:before="160"/>
      </w:pPr>
      <w:r>
        <w:rPr>
          <w:rFonts w:ascii="Arial" w:hAnsi="Arial" w:eastAsia="Arial"/>
          <w:b/>
          <w:color w:val="162A54"/>
          <w:sz w:val="24"/>
        </w:rPr>
        <w:t>ДАННЫЕ ПРОДУКТА</w:t>
      </w:r>
    </w:p>
    <w:p>
      <w:pPr>
        <w:spacing w:after="80" w:before="0"/>
      </w:pPr>
      <w:r>
        <w:rPr>
          <w:rFonts w:ascii="Arial" w:hAnsi="Arial" w:eastAsia="Arial"/>
          <w:b/>
          <w:color w:val="AA0000"/>
          <w:sz w:val="20"/>
        </w:rPr>
        <w:t>—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Соотношение смешивания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9:1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Сухой остаток по объему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60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VOC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≤420 г/л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Цвет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Стандартный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Рекомендуемая DFT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50-80 мкм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Расчетная WFT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83-133 мкм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Теоретический расход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12 / 7,5 м²/л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Твердость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≥H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Ударопрочность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≥40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Адгезия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≤Класс 1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Гибкость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≤2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Жизнеспособность смеси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&gt;3 ч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Размер упаковки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4 л / 20 л; 2К продукты поставляются комплектами A+B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Срок хранения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6 месяцев</w:t>
            </w:r>
          </w:p>
        </w:tc>
      </w:tr>
    </w:tbl>
    <w:p>
      <w:pPr>
        <w:spacing w:after="20"/>
      </w:pPr>
    </w:p>
    <w:p>
      <w:pPr>
        <w:spacing w:after="80" w:before="160"/>
      </w:pPr>
      <w:r>
        <w:rPr>
          <w:rFonts w:ascii="Arial" w:hAnsi="Arial" w:eastAsia="Arial"/>
          <w:b/>
          <w:color w:val="162A54"/>
          <w:sz w:val="24"/>
        </w:rPr>
        <w:t>ПОДГОТОВКА ПОВЕРХНОСТИ</w:t>
      </w:r>
    </w:p>
    <w:p>
      <w:pPr>
        <w:spacing w:after="80" w:before="0"/>
      </w:pPr>
      <w:r>
        <w:rPr>
          <w:rFonts w:ascii="Arial" w:hAnsi="Arial" w:eastAsia="Arial"/>
          <w:b/>
          <w:color w:val="AA0000"/>
          <w:sz w:val="20"/>
        </w:rPr>
        <w:t>—</w:t>
      </w:r>
    </w:p>
    <w:p>
      <w:pPr>
        <w:spacing w:after="40" w:before="0"/>
      </w:pPr>
      <w:r>
        <w:rPr>
          <w:rFonts w:ascii="Arial" w:hAnsi="Arial" w:eastAsia="Arial"/>
          <w:b w:val="0"/>
          <w:sz w:val="19"/>
        </w:rPr>
        <w:t>Эпоксидный грунт, допускающий ограниченную подготовку поверхности, на голой стали: для новой стали - абразивоструйная очистка до Sa2½ с профилем 40-75 мкм.</w:t>
      </w:r>
    </w:p>
    <w:p>
      <w:pPr>
        <w:spacing w:after="40" w:before="0"/>
      </w:pPr>
      <w:r>
        <w:rPr>
          <w:rFonts w:ascii="Arial" w:hAnsi="Arial" w:eastAsia="Arial"/>
          <w:b w:val="0"/>
          <w:sz w:val="19"/>
        </w:rPr>
        <w:t>Для ремонтных работ - минимум механическая очистка инструментом до St3 с удалением рыхлой ржавчины, слабого старого покрытия, масла и солей.</w:t>
      </w:r>
    </w:p>
    <w:p>
      <w:pPr>
        <w:spacing w:after="40" w:before="0"/>
      </w:pPr>
      <w:r>
        <w:rPr>
          <w:rFonts w:ascii="Arial" w:hAnsi="Arial" w:eastAsia="Arial"/>
          <w:b w:val="0"/>
          <w:sz w:val="19"/>
        </w:rPr>
        <w:t>Допуск к ограниченной подготовке поверхности не означает отсутствие подготовки поверхности.</w:t>
      </w:r>
    </w:p>
    <w:p>
      <w:pPr>
        <w:spacing w:after="80" w:before="160"/>
      </w:pPr>
      <w:r>
        <w:rPr>
          <w:rFonts w:ascii="Arial" w:hAnsi="Arial" w:eastAsia="Arial"/>
          <w:b/>
          <w:color w:val="162A54"/>
          <w:sz w:val="24"/>
        </w:rPr>
        <w:t>ДАННЫЕ ПО НАНЕСЕНИЮ</w:t>
      </w:r>
    </w:p>
    <w:p>
      <w:pPr>
        <w:spacing w:after="80" w:before="0"/>
      </w:pPr>
      <w:r>
        <w:rPr>
          <w:rFonts w:ascii="Arial" w:hAnsi="Arial" w:eastAsia="Arial"/>
          <w:b/>
          <w:color w:val="AA0000"/>
          <w:sz w:val="20"/>
        </w:rPr>
        <w:t>—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Разбавитель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EpoThi 10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Типичное разбавление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10-15%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Методы нанесения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Безвоздушное распыление / обычное распыление / кисть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Температура нанесения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5-35°C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Относительная влажность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&lt;85%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Срок хранения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6 месяцев</w:t>
            </w:r>
          </w:p>
        </w:tc>
      </w:tr>
    </w:tbl>
    <w:p>
      <w:pPr>
        <w:spacing w:after="20"/>
      </w:pPr>
    </w:p>
    <w:p>
      <w:pPr>
        <w:spacing w:after="80" w:before="160"/>
      </w:pPr>
      <w:r>
        <w:rPr>
          <w:rFonts w:ascii="Arial" w:hAnsi="Arial" w:eastAsia="Arial"/>
          <w:b/>
          <w:color w:val="162A54"/>
          <w:sz w:val="24"/>
        </w:rPr>
        <w:t>СУШКА И ПОВТОРНОЕ НАНЕСЕНИЕ</w:t>
      </w:r>
    </w:p>
    <w:p>
      <w:pPr>
        <w:spacing w:after="80" w:before="0"/>
      </w:pPr>
      <w:r>
        <w:rPr>
          <w:rFonts w:ascii="Arial" w:hAnsi="Arial" w:eastAsia="Arial"/>
          <w:b/>
          <w:color w:val="AA0000"/>
          <w:sz w:val="20"/>
        </w:rPr>
        <w:t>—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Высыхание на отлип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≤3 ч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Полное высыхание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8-24 ч, зависит от продукта</w:t>
            </w:r>
          </w:p>
        </w:tc>
      </w:tr>
      <w:tr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  <w:shd w:fill="F2F4F8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162A54"/>
                <w:sz w:val="17"/>
              </w:rPr>
              <w:t>Полное отверждение</w:t>
            </w:r>
          </w:p>
        </w:tc>
        <w:tc>
          <w:tcPr>
            <w:tcW w:type="dxa" w:w="5326"/>
            <w:vAlign w:val="center"/>
            <w:tcBorders>
              <w:top w:sz="4" w:val="single" w:color="BFBFBF"/>
              <w:left w:sz="4" w:val="single" w:color="BFBFBF"/>
              <w:bottom w:sz="4" w:val="single" w:color="BFBFBF"/>
              <w:right w:sz="4" w:val="single" w:color="BFBFBF"/>
            </w:tcBorders>
          </w:tcPr>
          <w:p>
            <w:pPr>
              <w:spacing w:after="0"/>
            </w:pPr>
            <w:r/>
            <w:r>
              <w:rPr>
                <w:rFonts w:ascii="Arial" w:hAnsi="Arial" w:eastAsia="Arial"/>
                <w:sz w:val="17"/>
              </w:rPr>
              <w:t>7 дней</w:t>
            </w:r>
          </w:p>
        </w:tc>
      </w:tr>
    </w:tbl>
    <w:p>
      <w:pPr>
        <w:spacing w:after="20"/>
      </w:pPr>
    </w:p>
    <w:p>
      <w:pPr>
        <w:spacing w:after="80" w:before="160"/>
      </w:pPr>
      <w:r>
        <w:rPr>
          <w:rFonts w:ascii="Arial" w:hAnsi="Arial" w:eastAsia="Arial"/>
          <w:b/>
          <w:color w:val="162A54"/>
          <w:sz w:val="24"/>
        </w:rPr>
        <w:t>ОБРАЩЕНИЕ, ОГРАНИЧЕНИЯ И БЕЗОПАСНОСТЬ</w:t>
      </w:r>
    </w:p>
    <w:p>
      <w:pPr>
        <w:spacing w:after="80" w:before="0"/>
      </w:pPr>
      <w:r>
        <w:rPr>
          <w:rFonts w:ascii="Arial" w:hAnsi="Arial" w:eastAsia="Arial"/>
          <w:b/>
          <w:color w:val="AA0000"/>
          <w:sz w:val="20"/>
        </w:rPr>
        <w:t>—</w:t>
      </w:r>
    </w:p>
    <w:p>
      <w:pPr>
        <w:spacing w:after="40" w:before="0"/>
      </w:pPr>
      <w:r>
        <w:rPr>
          <w:rFonts w:ascii="Arial" w:hAnsi="Arial" w:eastAsia="Arial"/>
          <w:b w:val="0"/>
          <w:sz w:val="19"/>
        </w:rPr>
        <w:t>Использовать защитные перчатки и средства защиты глаз. Обеспечить достаточную вентиляцию во время нанесения.</w:t>
      </w:r>
    </w:p>
    <w:p>
      <w:pPr>
        <w:spacing w:after="40" w:before="0"/>
      </w:pPr>
      <w:r>
        <w:rPr>
          <w:rFonts w:ascii="Arial" w:hAnsi="Arial" w:eastAsia="Arial"/>
          <w:b w:val="0"/>
          <w:sz w:val="19"/>
        </w:rPr>
        <w:t>Беречь от источников тепла, искр и открытого пламени.</w:t>
      </w:r>
    </w:p>
    <w:p>
      <w:pPr>
        <w:spacing w:after="40" w:before="0"/>
      </w:pPr>
      <w:r>
        <w:rPr>
          <w:rFonts w:ascii="Arial" w:hAnsi="Arial" w:eastAsia="Arial"/>
          <w:b w:val="0"/>
          <w:sz w:val="19"/>
        </w:rPr>
        <w:t>Только для профессионального промышленного применения.</w:t>
      </w:r>
    </w:p>
    <w:p>
      <w:pPr>
        <w:spacing w:after="40" w:before="0"/>
      </w:pPr>
      <w:r>
        <w:rPr>
          <w:rFonts w:ascii="Arial" w:hAnsi="Arial" w:eastAsia="Arial"/>
          <w:b w:val="0"/>
          <w:sz w:val="19"/>
        </w:rPr>
        <w:t>Тщательно смешать компонент A и компонент B перед применением.</w:t>
      </w:r>
    </w:p>
    <w:p>
      <w:pPr>
        <w:spacing w:after="40" w:before="0"/>
      </w:pPr>
      <w:r>
        <w:rPr>
          <w:rFonts w:ascii="Arial" w:hAnsi="Arial" w:eastAsia="Arial"/>
          <w:b w:val="0"/>
          <w:sz w:val="19"/>
        </w:rPr>
        <w:t>Наносить в пределах времени жизнеспособности смеси.</w:t>
      </w:r>
    </w:p>
    <w:p>
      <w:pPr>
        <w:spacing w:after="40" w:before="0"/>
      </w:pPr>
      <w:r>
        <w:rPr>
          <w:rFonts w:ascii="Arial" w:hAnsi="Arial" w:eastAsia="Arial"/>
          <w:b w:val="0"/>
          <w:sz w:val="19"/>
        </w:rPr>
        <w:t>Эпоксидные пленки могут мелеть при длительном воздействии УФ. Если требуется сохранение цвета и глянца, используйте подходящее финишное покрытие.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680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787878"/>
        <w:sz w:val="16"/>
      </w:rPr>
      <w:t>Foshan Jinlang Chemical Polymer Materials Co., LTD</w:t>
      <w:br/>
      <w:t>Март 2021, V1.5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162A54"/>
        <w:sz w:val="20"/>
      </w:rPr>
      <w:t>JINLANG CHEMICAL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 w:eastAsia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